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before="0"/>
        <w:ind w:left="165" w:right="0" w:firstLine="0"/>
        <w:jc w:val="left"/>
        <w:rPr>
          <w:rFonts w:ascii="Lucida Sans" w:hAnsi="Lucida Sans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594359</wp:posOffset>
            </wp:positionH>
            <wp:positionV relativeFrom="paragraph">
              <wp:posOffset>-259751</wp:posOffset>
            </wp:positionV>
            <wp:extent cx="1199857" cy="1877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color w:val="231F20"/>
          <w:sz w:val="20"/>
        </w:rPr>
        <w:t>Módulo 15: El Ministerio Facultativo</w:t>
      </w:r>
    </w:p>
    <w:p>
      <w:pPr>
        <w:spacing w:before="54"/>
        <w:ind w:left="165" w:right="0" w:firstLine="0"/>
        <w:jc w:val="left"/>
        <w:rPr>
          <w:rFonts w:ascii="Lucida Sans" w:hAnsi="Lucida Sans"/>
          <w:sz w:val="18"/>
        </w:rPr>
      </w:pPr>
      <w:r>
        <w:rPr>
          <w:rFonts w:ascii="Lucida Sans" w:hAnsi="Lucida Sans"/>
          <w:color w:val="231F20"/>
          <w:w w:val="95"/>
          <w:sz w:val="18"/>
        </w:rPr>
        <w:t>Prueba</w:t>
      </w:r>
      <w:r>
        <w:rPr>
          <w:rFonts w:ascii="Lucida Sans" w:hAnsi="Lucida Sans"/>
          <w:color w:val="231F20"/>
          <w:spacing w:val="-35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de</w:t>
      </w:r>
      <w:r>
        <w:rPr>
          <w:rFonts w:ascii="Lucida Sans" w:hAnsi="Lucida Sans"/>
          <w:color w:val="231F20"/>
          <w:spacing w:val="-34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la</w:t>
      </w:r>
      <w:r>
        <w:rPr>
          <w:rFonts w:ascii="Lucida Sans" w:hAnsi="Lucida Sans"/>
          <w:color w:val="231F20"/>
          <w:spacing w:val="-35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lección</w:t>
      </w:r>
      <w:r>
        <w:rPr>
          <w:rFonts w:ascii="Lucida Sans" w:hAnsi="Lucida Sans"/>
          <w:color w:val="231F20"/>
          <w:spacing w:val="-34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1:</w:t>
      </w:r>
      <w:r>
        <w:rPr>
          <w:rFonts w:ascii="Lucida Sans" w:hAnsi="Lucida Sans"/>
          <w:color w:val="231F20"/>
          <w:spacing w:val="-34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El</w:t>
      </w:r>
      <w:r>
        <w:rPr>
          <w:rFonts w:ascii="Lucida Sans" w:hAnsi="Lucida Sans"/>
          <w:color w:val="231F20"/>
          <w:spacing w:val="-35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Ministerio</w:t>
      </w:r>
      <w:r>
        <w:rPr>
          <w:rFonts w:ascii="Lucida Sans" w:hAnsi="Lucida Sans"/>
          <w:color w:val="231F20"/>
          <w:spacing w:val="-34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de</w:t>
      </w:r>
      <w:r>
        <w:rPr>
          <w:rFonts w:ascii="Lucida Sans" w:hAnsi="Lucida Sans"/>
          <w:color w:val="231F20"/>
          <w:spacing w:val="-35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Proclamación</w:t>
      </w:r>
      <w:r>
        <w:rPr>
          <w:rFonts w:ascii="Lucida Sans" w:hAnsi="Lucida Sans"/>
          <w:color w:val="231F20"/>
          <w:spacing w:val="-34"/>
          <w:w w:val="95"/>
          <w:sz w:val="18"/>
        </w:rPr>
        <w:t> </w:t>
      </w:r>
      <w:r>
        <w:rPr>
          <w:rFonts w:ascii="Lucida Sans" w:hAnsi="Lucida Sans"/>
          <w:color w:val="231F20"/>
          <w:w w:val="95"/>
          <w:sz w:val="18"/>
        </w:rPr>
        <w:t>(1)</w:t>
      </w:r>
    </w:p>
    <w:p>
      <w:pPr>
        <w:spacing w:before="61"/>
        <w:ind w:left="16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spacing w:before="153"/>
        <w:ind w:left="165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tabs>
          <w:tab w:pos="5086" w:val="left" w:leader="none"/>
        </w:tabs>
        <w:spacing w:line="518" w:lineRule="auto" w:before="100"/>
        <w:ind w:left="116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type w:val="continuous"/>
          <w:pgSz w:w="12240" w:h="15840"/>
          <w:pgMar w:top="720" w:bottom="280" w:left="820" w:right="820"/>
          <w:cols w:num="2" w:equalWidth="0">
            <w:col w:w="4508" w:space="538"/>
            <w:col w:w="5554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8"/>
        <w:rPr>
          <w:rFonts w:ascii="Gill Sans MT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319" w:lineRule="auto" w:before="97" w:after="0"/>
        <w:ind w:left="524" w:right="406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predicaba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enseñando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mismo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comenzaría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luego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Segunda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Venida, donde llegaría con poder 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gloria.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0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frases NO SON VERDADERAS considerando el llamado 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predicar?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El llamado está asociado con los dones de Dios, para que el predicador responda 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mismo.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El llamado a predicar va de la mano con el llamado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pastoral.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Dios envía a sus predicadores a lugares y a personas según 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voluntad.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Aunque la predicación es un trabajo, uno debe mantener una relación con Dios para saber qué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proclamar.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  <w:tab w:pos="6715" w:val="left" w:leader="none"/>
          <w:tab w:pos="8136" w:val="left" w:leader="none"/>
        </w:tabs>
        <w:spacing w:line="319" w:lineRule="auto" w:before="202" w:after="0"/>
        <w:ind w:left="524" w:right="407" w:hanging="360"/>
        <w:jc w:val="left"/>
        <w:rPr>
          <w:sz w:val="22"/>
        </w:rPr>
      </w:pPr>
      <w:r>
        <w:rPr>
          <w:color w:val="231F20"/>
          <w:sz w:val="22"/>
        </w:rPr>
        <w:t>La virtud esencial de la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predicación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  <w:tab/>
      </w:r>
      <w:r>
        <w:rPr>
          <w:color w:val="231F20"/>
          <w:sz w:val="22"/>
        </w:rPr>
        <w:t>, y la mayor debilidad </w:t>
      </w:r>
      <w:r>
        <w:rPr>
          <w:color w:val="231F20"/>
          <w:spacing w:val="-8"/>
          <w:sz w:val="22"/>
        </w:rPr>
        <w:t>de </w:t>
      </w:r>
      <w:r>
        <w:rPr>
          <w:color w:val="231F20"/>
          <w:sz w:val="22"/>
        </w:rPr>
        <w:t>la predicación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  <w:tab w:pos="10010" w:val="left" w:leader="none"/>
        </w:tabs>
        <w:spacing w:line="319" w:lineRule="auto" w:before="1" w:after="0"/>
        <w:ind w:left="524" w:right="407" w:hanging="360"/>
        <w:jc w:val="left"/>
        <w:rPr>
          <w:sz w:val="22"/>
        </w:rPr>
      </w:pPr>
      <w:r>
        <w:rPr>
          <w:color w:val="231F20"/>
          <w:sz w:val="22"/>
        </w:rPr>
        <w:t>Considerando</w:t>
      </w:r>
      <w:r>
        <w:rPr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el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alcance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mensaje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que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tiene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el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predicador</w:t>
      </w:r>
      <w:r>
        <w:rPr>
          <w:color w:val="231F20"/>
          <w:sz w:val="22"/>
        </w:rPr>
        <w:t>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él/ella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preparado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hacer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hizo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Pablo,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predicar el: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6" w:val="left" w:leader="none"/>
        </w:tabs>
        <w:spacing w:line="240" w:lineRule="auto" w:before="1" w:after="0"/>
        <w:ind w:left="525" w:right="0" w:hanging="361"/>
        <w:jc w:val="left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NT,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predicador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visto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representante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Dios,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alguien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declara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mensaje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Embajador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Mensajero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Legislador del Reino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5" w:right="0" w:hanging="361"/>
        <w:jc w:val="left"/>
        <w:rPr>
          <w:sz w:val="22"/>
        </w:rPr>
      </w:pPr>
      <w:r>
        <w:rPr>
          <w:color w:val="231F20"/>
          <w:sz w:val="22"/>
        </w:rPr>
        <w:t>Comisario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1: El Ministerio de Proclamación (1)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5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 “principio del carácter” considerado al predicar sugiere que: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Quienes somos, es más importante que lo que decimos o hacemos.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Lo que decimos determinará eventualmente lo que hacemos.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Lo que hacemos nunca habla más alto de lo de decimos.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Ninguno de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2" w:after="0"/>
        <w:ind w:left="764" w:right="118" w:hanging="360"/>
        <w:jc w:val="left"/>
        <w:rPr>
          <w:i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“predicación”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contienen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elemento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común: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anunciar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mensaje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 una audiencia, pero no proclamar un mensaje</w:t>
      </w:r>
      <w:r>
        <w:rPr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públicamente.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34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principal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contenido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predicación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¿Cuáles de las siguientes son </w:t>
      </w:r>
      <w:r>
        <w:rPr>
          <w:i/>
          <w:color w:val="231F20"/>
          <w:sz w:val="22"/>
        </w:rPr>
        <w:t>características </w:t>
      </w:r>
      <w:r>
        <w:rPr>
          <w:color w:val="231F20"/>
          <w:sz w:val="22"/>
        </w:rPr>
        <w:t>del ministerio 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predicación?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enseñanza edifica discípulos, la predicación se enfoca en audiencias mixtas y a menudo en el perdido.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predicación es un discurso público que alcanza a ambos, al perdido para salvarlo y al salvo para edificarlo.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predicación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íntimamente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conectada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evangelización,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predicando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salvación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0069" w:val="left" w:leader="none"/>
        </w:tabs>
        <w:spacing w:line="240" w:lineRule="auto" w:before="203" w:after="0"/>
        <w:ind w:left="764" w:right="124" w:hanging="764"/>
        <w:jc w:val="righ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instructor,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factor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importante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predicación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efectiva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dinámica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215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spacing w:after="0"/>
        <w:jc w:val="right"/>
        <w:sectPr>
          <w:headerReference w:type="default" r:id="rId6"/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6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Módulo15: El Ministerio Facultativo</w:t>
      </w:r>
    </w:p>
    <w:p>
      <w:pPr>
        <w:spacing w:before="46"/>
        <w:ind w:left="16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El Ministerio de Proclamación</w:t>
      </w:r>
      <w:r>
        <w:rPr>
          <w:rFonts w:ascii="Calibri" w:hAnsi="Calibri"/>
          <w:color w:val="231F20"/>
          <w:spacing w:val="-21"/>
          <w:w w:val="105"/>
          <w:sz w:val="20"/>
        </w:rPr>
        <w:t> </w:t>
      </w:r>
      <w:r>
        <w:rPr>
          <w:rFonts w:ascii="Calibri" w:hAnsi="Calibri"/>
          <w:color w:val="231F20"/>
          <w:spacing w:val="-5"/>
          <w:w w:val="105"/>
          <w:sz w:val="20"/>
        </w:rPr>
        <w:t>(2)</w:t>
      </w:r>
    </w:p>
    <w:p>
      <w:pPr>
        <w:spacing w:before="45"/>
        <w:ind w:left="16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135" w:val="left" w:leader="none"/>
        </w:tabs>
        <w:spacing w:line="518" w:lineRule="auto" w:before="16"/>
        <w:ind w:left="165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pgSz w:w="12240" w:h="15840"/>
          <w:pgMar w:header="777" w:footer="0" w:top="960" w:bottom="280" w:left="820" w:right="820"/>
          <w:cols w:num="2" w:equalWidth="0">
            <w:col w:w="4938" w:space="60"/>
            <w:col w:w="5602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1312" coordorigin="935,720" coordsize="429,345">
            <v:shape style="position:absolute;left:936;top:722;width:326;height:294" type="#_x0000_t75" stroked="false">
              <v:imagedata r:id="rId8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9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7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0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Según la lección, el Espíritu Santo es aquel que provee y prepara el mensaje ya que el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mismo</w:t>
      </w:r>
    </w:p>
    <w:p>
      <w:pPr>
        <w:pStyle w:val="BodyText"/>
        <w:spacing w:before="2"/>
      </w:pPr>
      <w:r>
        <w:rPr/>
        <w:pict>
          <v:shape style="position:absolute;margin-left:67.996536pt;margin-top:14.72897pt;width:478.5pt;height:.1pt;mso-position-horizontal-relative:page;mso-position-vertical-relative:paragraph;z-index:-251656192;mso-wrap-distance-left:0;mso-wrap-distance-right:0" coordorigin="1360,295" coordsize="9570,0" path="m1360,295l10930,295e" filled="false" stroked="true" strokeweight=".549995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86" w:val="left" w:leader="none"/>
        </w:tabs>
        <w:spacing w:before="83"/>
        <w:ind w:left="539"/>
      </w:pP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también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319" w:lineRule="auto" w:before="203" w:after="0"/>
        <w:ind w:left="539" w:right="403" w:hanging="360"/>
        <w:jc w:val="both"/>
        <w:rPr>
          <w:i/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Cuando establece CONTACTO con sus oyentes, está interesado primeramente en comunicar el contenido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bíblico,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quiere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evitar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perder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demasiado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tratar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estimular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audiencia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llevar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 cabo los principales puntos 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lección</w:t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1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El CONTENIDO esencial de nuestra predicación y proclamación tiene ver con: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Los últimos temas y asuntos con que la audiencia está luchando.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Las ideas y lecciones que hemos recibido en nuestro caminar con el Señor.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La persona de Jesucristo y la demanda del Reino de 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Una enseñanza general de la Biblia y sus puntos claves.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40" w:lineRule="auto" w:before="202" w:after="0"/>
        <w:ind w:left="539" w:right="0" w:hanging="361"/>
        <w:jc w:val="left"/>
        <w:rPr>
          <w:sz w:val="22"/>
        </w:rPr>
      </w:pPr>
      <w:r>
        <w:rPr>
          <w:color w:val="231F20"/>
          <w:sz w:val="22"/>
        </w:rPr>
        <w:t>Cuando establece CONEXIONES con su audiencia a través de la Palabra predicada, debe: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Señalar formas concretas para que ellos puedan responder en fe y obediencia al Señor.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Enfatizar cosas prácticas que mantenga a la audiencia interesada.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Enseñar temáticas individuales, no congregacionales.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99" w:val="left" w:leader="none"/>
          <w:tab w:pos="900" w:val="left" w:leader="none"/>
        </w:tabs>
        <w:spacing w:line="240" w:lineRule="auto" w:before="0" w:after="0"/>
        <w:ind w:left="899" w:right="0" w:hanging="361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319" w:lineRule="auto" w:before="203" w:after="0"/>
        <w:ind w:left="539" w:right="401" w:hanging="360"/>
        <w:jc w:val="both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Debido a que la gente puede ser persuadida a la fe por medio de una comunicación efectiva, tenemos entonces la habilidad de lograr que la gente salga de su ceguera hacia el evangelio.</w:t>
      </w:r>
    </w:p>
    <w:p>
      <w:pPr>
        <w:spacing w:after="0" w:line="319" w:lineRule="auto"/>
        <w:jc w:val="both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El Ministerio de Proclamación (2)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1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97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Los tres pasos del ministerio de proclamación, </w:t>
      </w:r>
      <w:r>
        <w:rPr>
          <w:i/>
          <w:color w:val="231F20"/>
          <w:sz w:val="22"/>
        </w:rPr>
        <w:t>en el orden correcto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son</w:t>
      </w:r>
      <w:r>
        <w:rPr>
          <w:color w:val="231F20"/>
          <w:sz w:val="22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Contacto, Conexión, Contenido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Contacto, Contenido, Conexión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Contenido, Contacto, Conexión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Conexión, Contacto, Contenido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202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frases NO es una de las características que el Espíritu desea del predicador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Dios?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Que imponga el mensaje y lo esencial de las Escrituras a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demás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deseo de obedecer al llamado, en lugar de tener una obediencia estricta al llamado a predicar.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Una mente que estudie la Palabra teniendo a la audiencia en mente.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 lo de arriba son características que el Espíritu desea.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5130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resaltamos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asunto,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interés,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idea,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experiencia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usamos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trampolín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nuestro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tema,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estamos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 la etapa 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en nuestra presentación.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Considerando a los oyentes sabemos que: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Espíritu convence a los oyentes de la verdad.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Ambos, el predicador y el Espíritu convencen al oyente de la verdad.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Sólo el oyente arrepentido puede volverse a la verdad.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 lo de arriba es verdadero.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En nuestro estudio de los Evangelios y el libro de Hechos, vemos poca conexión entre la proclamación de la Palabra y la manifestación del poder de Dios para confirmarla.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10"/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</w:t>
      </w:r>
    </w:p>
    <w:p>
      <w:pPr>
        <w:spacing w:before="46"/>
        <w:ind w:left="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Ministerio de Enseñanza (1)</w:t>
      </w:r>
    </w:p>
    <w:p>
      <w:pPr>
        <w:spacing w:before="45"/>
        <w:ind w:left="17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150" w:val="left" w:leader="none"/>
        </w:tabs>
        <w:spacing w:line="518" w:lineRule="auto" w:before="16"/>
        <w:ind w:left="179" w:right="456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pgSz w:w="12240" w:h="15840"/>
          <w:pgMar w:header="777" w:footer="0" w:top="960" w:bottom="280" w:left="820" w:right="820"/>
          <w:cols w:num="2" w:equalWidth="0">
            <w:col w:w="4758" w:space="225"/>
            <w:col w:w="5617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3360" coordorigin="935,720" coordsize="429,345">
            <v:shape style="position:absolute;left:936;top:722;width:326;height:294" type="#_x0000_t75" stroked="false">
              <v:imagedata r:id="rId8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9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94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  <w:tab w:pos="6187" w:val="left" w:leader="none"/>
          <w:tab w:pos="10181" w:val="left" w:leader="none"/>
        </w:tabs>
        <w:spacing w:line="319" w:lineRule="auto" w:before="0" w:after="0"/>
        <w:ind w:left="554" w:right="416" w:hanging="360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cuatro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imágenes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usadas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enseñanza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maestro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 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también 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</w:tabs>
        <w:spacing w:line="319" w:lineRule="auto" w:before="0" w:after="0"/>
        <w:ind w:left="554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maestros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llamados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están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concentrados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principalmente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necesidades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asuntos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 sus alumnos, no atendiendo demasiado la tradición apostólica.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</w:tabs>
        <w:spacing w:line="240" w:lineRule="auto" w:before="1" w:after="0"/>
        <w:ind w:left="554" w:right="0" w:hanging="361"/>
        <w:jc w:val="left"/>
        <w:rPr>
          <w:i/>
          <w:sz w:val="22"/>
        </w:rPr>
      </w:pPr>
      <w:r>
        <w:rPr>
          <w:color w:val="231F20"/>
          <w:sz w:val="22"/>
        </w:rPr>
        <w:t>¿Cuál de la siguientes frases NO ES VERDADERA considerando </w:t>
      </w:r>
      <w:r>
        <w:rPr>
          <w:i/>
          <w:color w:val="231F20"/>
          <w:sz w:val="22"/>
        </w:rPr>
        <w:t>las características del ministerio de enseñanza?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240" w:lineRule="auto" w:before="0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La predicación edifica y brinda madurez, mientras que la enseñanza se enfoca en el perdido.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15" w:val="left" w:leader="none"/>
        </w:tabs>
        <w:spacing w:line="240" w:lineRule="auto" w:before="0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La enseñanza se concentra en el cumplimiento de la Gran Comisión.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319" w:lineRule="auto" w:before="0" w:after="0"/>
        <w:ind w:left="914" w:right="403" w:hanging="360"/>
        <w:jc w:val="left"/>
        <w:rPr>
          <w:sz w:val="22"/>
        </w:rPr>
      </w:pPr>
      <w:r>
        <w:rPr>
          <w:color w:val="231F20"/>
          <w:sz w:val="22"/>
        </w:rPr>
        <w:t>La enseñanza protege a los discípulos del peligro de la herejía, la división, falta de santidad e inmadurez espiritual.</w:t>
      </w: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240" w:lineRule="auto" w:before="166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La enseñanza busca perfeccionar a los santos para la obra del ministerio.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</w:tabs>
        <w:spacing w:line="240" w:lineRule="auto" w:before="203" w:after="0"/>
        <w:ind w:left="554" w:right="0" w:hanging="361"/>
        <w:jc w:val="left"/>
        <w:rPr>
          <w:sz w:val="22"/>
        </w:rPr>
      </w:pPr>
      <w:r>
        <w:rPr>
          <w:color w:val="231F20"/>
          <w:sz w:val="22"/>
        </w:rPr>
        <w:t>De acuerdo a la Gran Comisión de nuestro Señor Jesucristo, el contenido primario del ministerio de enseñanza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9904" w:val="left" w:leader="none"/>
        </w:tabs>
        <w:spacing w:before="82"/>
        <w:ind w:left="55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</w:tabs>
        <w:spacing w:line="240" w:lineRule="auto" w:before="203" w:after="0"/>
        <w:ind w:left="554" w:right="0" w:hanging="361"/>
        <w:jc w:val="left"/>
        <w:rPr>
          <w:sz w:val="22"/>
        </w:rPr>
      </w:pPr>
      <w:r>
        <w:rPr>
          <w:color w:val="231F20"/>
          <w:sz w:val="22"/>
        </w:rPr>
        <w:t>Considerando el ministerio de enseñanza en la obra de los apóstoles, vemos que: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240" w:lineRule="auto" w:before="0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Ellos buscaron limitar sus enseñanzas sólo a los hombres (mujeres y niños fueron excluidos).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15" w:val="left" w:leader="none"/>
        </w:tabs>
        <w:spacing w:line="240" w:lineRule="auto" w:before="0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Ellos instruyeron sólo a sus aprendices, y demandaron que ellos enseñaran a alguien más.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319" w:lineRule="auto" w:before="0" w:after="0"/>
        <w:ind w:left="914" w:right="402" w:hanging="360"/>
        <w:jc w:val="left"/>
        <w:rPr>
          <w:sz w:val="22"/>
        </w:rPr>
      </w:pPr>
      <w:r>
        <w:rPr>
          <w:color w:val="231F20"/>
          <w:sz w:val="22"/>
        </w:rPr>
        <w:t>Ellos enseñaron a toda la Iglesia todos los asuntos relacionados a Jesús como el Mesías y Su posición como Cabeza de la Iglesia.</w:t>
      </w:r>
    </w:p>
    <w:p>
      <w:pPr>
        <w:pStyle w:val="ListParagraph"/>
        <w:numPr>
          <w:ilvl w:val="1"/>
          <w:numId w:val="3"/>
        </w:numPr>
        <w:tabs>
          <w:tab w:pos="914" w:val="left" w:leader="none"/>
          <w:tab w:pos="915" w:val="left" w:leader="none"/>
        </w:tabs>
        <w:spacing w:line="240" w:lineRule="auto" w:before="167" w:after="0"/>
        <w:ind w:left="914" w:right="0" w:hanging="361"/>
        <w:jc w:val="left"/>
        <w:rPr>
          <w:sz w:val="22"/>
        </w:rPr>
      </w:pPr>
      <w:r>
        <w:rPr>
          <w:color w:val="231F20"/>
          <w:sz w:val="22"/>
        </w:rPr>
        <w:t>(a) y (c) son verdaderos.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before="9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1147762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128078pt;margin-top:3.02461pt;width:21.55pt;height:17.25pt;mso-position-horizontal-relative:page;mso-position-vertical-relative:paragraph;z-index:251665408" coordorigin="1223,60" coordsize="431,345">
            <v:shape style="position:absolute;left:1224;top:62;width:326;height:294" type="#_x0000_t75" stroked="false">
              <v:imagedata r:id="rId12" o:title=""/>
            </v:shape>
            <v:shape style="position:absolute;left:1224;top:60;width:418;height:294" coordorigin="1224,60" coordsize="418,294" path="m1433,60l1391,63,1352,72,1316,86,1286,104,1260,125,1241,150,1229,178,1224,207,1228,236,1241,264,1260,289,1285,310,1316,328,1351,342,1390,351,1432,354,1432,301,1550,221,1641,221,1642,207,1638,178,1625,150,1606,125,1581,104,1550,86,1514,72,1475,63,1433,60xm1641,221l1550,221,1550,328,1570,317,1588,305,1604,291,1617,276,1627,260,1635,243,1640,226,1641,221xe" filled="true" fillcolor="#939598" stroked="false">
              <v:path arrowok="t"/>
              <v:fill type="solid"/>
            </v:shape>
            <v:shape style="position:absolute;left:1222;top:60;width:431;height:325" type="#_x0000_t75" stroked="false">
              <v:imagedata r:id="rId13" o:title=""/>
            </v:shape>
            <v:line style="position:absolute" from="1315,220" to="1315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15: El Ministerio Facultativo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Ministerio de Enseñanza (1)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59" w:val="left" w:leader="none"/>
          <w:tab w:pos="360" w:val="left" w:leader="none"/>
        </w:tabs>
        <w:spacing w:line="240" w:lineRule="auto" w:before="95" w:after="0"/>
        <w:ind w:left="767" w:right="3130" w:hanging="768"/>
        <w:jc w:val="right"/>
        <w:rPr>
          <w:sz w:val="22"/>
        </w:rPr>
      </w:pPr>
      <w:r>
        <w:rPr>
          <w:color w:val="231F20"/>
          <w:sz w:val="22"/>
        </w:rPr>
        <w:t>Una de las dificultades del ministerio de enseñanza cubiertas en esta lección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359" w:val="left" w:leader="none"/>
          <w:tab w:pos="360" w:val="left" w:leader="none"/>
        </w:tabs>
        <w:spacing w:line="240" w:lineRule="auto" w:before="0" w:after="0"/>
        <w:ind w:left="1127" w:right="3039" w:hanging="1128"/>
        <w:jc w:val="right"/>
        <w:rPr>
          <w:sz w:val="22"/>
        </w:rPr>
      </w:pPr>
      <w:r>
        <w:rPr>
          <w:color w:val="231F20"/>
          <w:sz w:val="22"/>
        </w:rPr>
        <w:t>Muchas enseñanzas siguen tendencias que no respetan la visión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Biblia.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enseñanza puede llegar a ser demasiado técnica y demasiado “pesada” para la edificación espiritual.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319" w:lineRule="auto" w:before="0" w:after="0"/>
        <w:ind w:left="1127" w:right="114" w:hanging="360"/>
        <w:jc w:val="left"/>
        <w:rPr>
          <w:sz w:val="22"/>
        </w:rPr>
      </w:pPr>
      <w:r>
        <w:rPr>
          <w:color w:val="231F20"/>
          <w:sz w:val="22"/>
        </w:rPr>
        <w:t>La enseñanza puede llegar a depender demasiado de la tecnología y los métodos, en lugar de depender únicamente de la verdad bíblica.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166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3" w:after="0"/>
        <w:ind w:left="767" w:right="112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causa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unción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siervos,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Santo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guía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maestro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hacia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verdad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 las Escrituras, y el alumno por lo tanto debe confiar completamente sólo en su maestro para un conocimiento profundo.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8397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La virtud esencial del ministerio de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enseñanza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 y la mayor debilidad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4837" w:val="left" w:leader="none"/>
        </w:tabs>
        <w:spacing w:before="82"/>
        <w:ind w:left="76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Considerando la enseñanza de Jesús en los Evangelios, podemos ver que: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enseñó a las multitudes </w:t>
      </w:r>
      <w:r>
        <w:rPr>
          <w:i/>
          <w:color w:val="231F20"/>
          <w:sz w:val="22"/>
        </w:rPr>
        <w:t>más que </w:t>
      </w:r>
      <w:r>
        <w:rPr>
          <w:color w:val="231F20"/>
          <w:sz w:val="22"/>
        </w:rPr>
        <w:t>a 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discípulos.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enseñó a los discípulos y rechazó enseñar a las multitudes.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Enseñó primeramente a los tres (Pedro, Santiago y Juan) y esperó que ellos enseñaran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demás.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2" w:after="0"/>
        <w:ind w:left="767" w:right="114" w:hanging="360"/>
        <w:jc w:val="both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i/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instructor,</w:t>
      </w:r>
      <w:r>
        <w:rPr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el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texto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definitivo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papel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central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ministerio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enseñanza</w:t>
      </w:r>
      <w:r>
        <w:rPr>
          <w:i/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Juan 3.16.</w:t>
      </w:r>
    </w:p>
    <w:sectPr>
      <w:headerReference w:type="default" r:id="rId11"/>
      <w:pgSz w:w="12240" w:h="15840"/>
      <w:pgMar w:header="0" w:footer="0" w:top="6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2007424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2006400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54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914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5" w:hanging="360"/>
        <w:jc w:val="left"/>
      </w:pPr>
      <w:rPr>
        <w:rFonts w:hint="default" w:ascii="Garamond" w:hAnsi="Garamond" w:eastAsia="Garamond" w:cs="Garamond"/>
        <w:color w:val="231F20"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7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#15 MG 11 June 14.vp</dc:title>
  <dcterms:created xsi:type="dcterms:W3CDTF">2020-03-23T16:58:10Z</dcterms:created>
  <dcterms:modified xsi:type="dcterms:W3CDTF">2020-03-23T16:58:10Z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