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line="285" w:lineRule="auto" w:before="0"/>
        <w:ind w:left="260" w:right="0" w:firstLine="0"/>
        <w:jc w:val="left"/>
        <w:rPr>
          <w:rFonts w:ascii="Calibri" w:hAnsi="Calibri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594359</wp:posOffset>
            </wp:positionH>
            <wp:positionV relativeFrom="paragraph">
              <wp:posOffset>-261612</wp:posOffset>
            </wp:positionV>
            <wp:extent cx="1199857" cy="1877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57" cy="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31F20"/>
          <w:w w:val="105"/>
          <w:sz w:val="20"/>
        </w:rPr>
        <w:t>Módulo 12: Enfoque en la Reproducción Examen Final para hacer en casa</w:t>
      </w:r>
    </w:p>
    <w:p>
      <w:pPr>
        <w:spacing w:line="218" w:lineRule="exact" w:before="0"/>
        <w:ind w:left="260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4959" w:val="left" w:leader="none"/>
          <w:tab w:pos="5147" w:val="left" w:leader="none"/>
        </w:tabs>
        <w:spacing w:line="496" w:lineRule="auto" w:before="98"/>
        <w:ind w:left="116" w:right="403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type w:val="continuous"/>
          <w:pgSz w:w="12240" w:h="15840"/>
          <w:pgMar w:top="720" w:bottom="280" w:left="820" w:right="820"/>
          <w:cols w:num="2" w:equalWidth="0">
            <w:col w:w="3761" w:space="1286"/>
            <w:col w:w="5553"/>
          </w:cols>
        </w:sectPr>
      </w:pPr>
    </w:p>
    <w:p>
      <w:pPr>
        <w:pStyle w:val="BodyText"/>
        <w:rPr>
          <w:rFonts w:ascii="Book Antiqua"/>
          <w:b/>
          <w:sz w:val="20"/>
        </w:rPr>
      </w:pPr>
    </w:p>
    <w:p>
      <w:pPr>
        <w:pStyle w:val="BodyText"/>
        <w:spacing w:before="9"/>
        <w:rPr>
          <w:rFonts w:ascii="Book Antiqua"/>
          <w:b/>
          <w:sz w:val="26"/>
        </w:rPr>
      </w:pPr>
    </w:p>
    <w:p>
      <w:pPr>
        <w:pStyle w:val="BodyText"/>
        <w:spacing w:line="319" w:lineRule="auto" w:before="94"/>
        <w:ind w:left="263" w:right="251"/>
        <w:jc w:val="both"/>
      </w:pPr>
      <w:r>
        <w:rPr>
          <w:color w:val="231F20"/>
        </w:rPr>
        <w:t>Conteste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siguientes</w:t>
      </w:r>
      <w:r>
        <w:rPr>
          <w:color w:val="231F20"/>
          <w:spacing w:val="-14"/>
        </w:rPr>
        <w:t> </w:t>
      </w:r>
      <w:r>
        <w:rPr>
          <w:color w:val="231F20"/>
        </w:rPr>
        <w:t>preguntas,</w:t>
      </w:r>
      <w:r>
        <w:rPr>
          <w:color w:val="231F20"/>
          <w:spacing w:val="-15"/>
        </w:rPr>
        <w:t> </w:t>
      </w:r>
      <w:r>
        <w:rPr>
          <w:color w:val="231F20"/>
        </w:rPr>
        <w:t>marcando</w:t>
      </w:r>
      <w:r>
        <w:rPr>
          <w:color w:val="231F20"/>
          <w:spacing w:val="-15"/>
        </w:rPr>
        <w:t> </w:t>
      </w:r>
      <w:r>
        <w:rPr>
          <w:color w:val="231F20"/>
        </w:rPr>
        <w:t>claramente</w:t>
      </w:r>
      <w:r>
        <w:rPr>
          <w:color w:val="231F20"/>
          <w:spacing w:val="-15"/>
        </w:rPr>
        <w:t> </w:t>
      </w:r>
      <w:r>
        <w:rPr>
          <w:color w:val="231F20"/>
        </w:rPr>
        <w:t>sus</w:t>
      </w:r>
      <w:r>
        <w:rPr>
          <w:color w:val="231F20"/>
          <w:spacing w:val="-12"/>
        </w:rPr>
        <w:t> </w:t>
      </w:r>
      <w:r>
        <w:rPr>
          <w:color w:val="231F20"/>
        </w:rPr>
        <w:t>respuestas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</w:rPr>
        <w:t>una.</w:t>
      </w:r>
      <w:r>
        <w:rPr>
          <w:color w:val="231F20"/>
          <w:spacing w:val="-13"/>
        </w:rPr>
        <w:t> </w:t>
      </w:r>
      <w:r>
        <w:rPr>
          <w:color w:val="231F20"/>
        </w:rPr>
        <w:t>Observe,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favor,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Examen Final está dividido en dos secciones. La sección 1 consta de verdadero-falso, opción múltiple, y preguntas de corta respuesta.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sección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representa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preguntas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redacción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piden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integre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5"/>
        </w:rPr>
        <w:t> </w:t>
      </w:r>
      <w:r>
        <w:rPr>
          <w:color w:val="231F20"/>
        </w:rPr>
        <w:t>aprendido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conecte con su vida y ministerio.</w:t>
      </w:r>
    </w:p>
    <w:p>
      <w:pPr>
        <w:pStyle w:val="BodyText"/>
        <w:spacing w:line="319" w:lineRule="auto" w:before="169"/>
        <w:ind w:left="263" w:right="254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favor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tiempo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fecha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instructor</w:t>
      </w:r>
      <w:r>
        <w:rPr>
          <w:color w:val="231F20"/>
          <w:spacing w:val="-11"/>
        </w:rPr>
        <w:t> </w:t>
      </w:r>
      <w:r>
        <w:rPr>
          <w:color w:val="231F20"/>
        </w:rPr>
        <w:t>le</w:t>
      </w:r>
      <w:r>
        <w:rPr>
          <w:color w:val="231F20"/>
          <w:spacing w:val="-10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dado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entregar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Examen</w:t>
      </w:r>
      <w:r>
        <w:rPr>
          <w:color w:val="231F20"/>
          <w:spacing w:val="-11"/>
        </w:rPr>
        <w:t> </w:t>
      </w:r>
      <w:r>
        <w:rPr>
          <w:color w:val="231F20"/>
        </w:rPr>
        <w:t>Final.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exámenes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 presenten tarde sin una excusa válida pueden bajar su calificación a discreción del instructor. </w:t>
      </w:r>
      <w:r>
        <w:rPr>
          <w:i/>
          <w:color w:val="231F20"/>
        </w:rPr>
        <w:t>Éste es un examen a libro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9"/>
        <w:ind w:left="263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1"/>
        <w:rPr>
          <w:rFonts w:ascii="Lucida Sans"/>
        </w:rPr>
      </w:pPr>
    </w:p>
    <w:p>
      <w:pPr>
        <w:pStyle w:val="BodyText"/>
        <w:spacing w:line="319" w:lineRule="auto" w:before="1"/>
        <w:ind w:left="263" w:right="252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319" w:lineRule="auto" w:before="1" w:after="0"/>
        <w:ind w:left="623" w:right="253" w:hanging="361"/>
        <w:jc w:val="left"/>
        <w:rPr>
          <w:color w:val="231F20"/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Capacitación</w:t>
      </w:r>
      <w:r>
        <w:rPr>
          <w:i/>
          <w:color w:val="231F20"/>
          <w:spacing w:val="-13"/>
          <w:sz w:val="22"/>
        </w:rPr>
        <w:t> </w:t>
      </w:r>
      <w:r>
        <w:rPr>
          <w:color w:val="231F20"/>
          <w:sz w:val="22"/>
        </w:rPr>
        <w:t>tiene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ver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transferir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liderazgo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iglesia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creciente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miembros, para que se pueda autogobernar, autosustentar y autoreproducir.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0" w:after="0"/>
        <w:ind w:left="624" w:right="2848" w:hanging="625"/>
        <w:jc w:val="right"/>
        <w:rPr>
          <w:color w:val="231F20"/>
          <w:sz w:val="22"/>
        </w:rPr>
      </w:pPr>
      <w:r>
        <w:rPr>
          <w:color w:val="231F20"/>
          <w:sz w:val="22"/>
        </w:rPr>
        <w:t>¿Cuál de ls siguientes razones de "seguimiento" a los nuevos discípulos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iglesia?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59" w:val="left" w:leader="none"/>
          <w:tab w:pos="360" w:val="left" w:leader="none"/>
        </w:tabs>
        <w:spacing w:line="240" w:lineRule="auto" w:before="0" w:after="0"/>
        <w:ind w:left="983" w:right="2853" w:hanging="984"/>
        <w:jc w:val="right"/>
        <w:rPr>
          <w:sz w:val="22"/>
        </w:rPr>
      </w:pPr>
      <w:r>
        <w:rPr>
          <w:color w:val="231F20"/>
          <w:sz w:val="22"/>
        </w:rPr>
        <w:t>El diablo procurará mentirles sobre la naturaleza de su compromiso con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Cristo.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0" w:lineRule="auto" w:before="0" w:after="0"/>
        <w:ind w:left="983" w:right="0" w:hanging="361"/>
        <w:jc w:val="left"/>
        <w:rPr>
          <w:sz w:val="22"/>
        </w:rPr>
      </w:pPr>
      <w:r>
        <w:rPr>
          <w:color w:val="231F20"/>
          <w:sz w:val="22"/>
        </w:rPr>
        <w:t>Los cristianos nuevos e inmaduros son vulnerables a cometer errores al comienzo de su caminar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3" w:right="0" w:hanging="361"/>
        <w:jc w:val="left"/>
        <w:rPr>
          <w:sz w:val="22"/>
        </w:rPr>
      </w:pPr>
      <w:r>
        <w:rPr>
          <w:color w:val="231F20"/>
          <w:sz w:val="22"/>
        </w:rPr>
        <w:t>Los nuevos creyentes deben ser reorientados al respecto de su decisión lo antes posible.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3" w:right="0" w:hanging="361"/>
        <w:jc w:val="left"/>
        <w:rPr>
          <w:sz w:val="22"/>
        </w:rPr>
      </w:pPr>
      <w:r>
        <w:rPr>
          <w:color w:val="231F20"/>
          <w:sz w:val="22"/>
        </w:rPr>
        <w:t>Los nuevos creyentes necesitan un cuidado pastoral inmediato que vele por sus almas.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3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319" w:lineRule="auto" w:before="202" w:after="0"/>
        <w:ind w:left="623" w:right="254" w:hanging="360"/>
        <w:jc w:val="left"/>
        <w:rPr>
          <w:color w:val="231F20"/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Uno de los criterios para una iglesia que se enfoca en la reproducción es que a los misioneros y a aquellos que ayudaron a fundarla no se les permite tener algún papel en el futuro y la visión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misma.</w:t>
      </w:r>
    </w:p>
    <w:p>
      <w:pPr>
        <w:spacing w:after="0" w:line="319" w:lineRule="auto"/>
        <w:jc w:val="left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95" w:after="0"/>
        <w:ind w:left="76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¿Qué declaración NO es CIERTA con respecto a iglesias que se reproducen?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Deben ser iglesias saludables, estables y seguras en su liderazgo y membresía.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1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Deben ser capaces de financiar sus propias iniciativas ministeriales sin la ayuda de otros.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Deben estar comprometidas en reproducirse dondequiera que Dios guíe, incluso en su propia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cultura.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Deben involucrarse en un ministerio activo a favor de los perdidos y por las misiones.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 son respuestas válidas.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181" w:after="0"/>
        <w:ind w:left="76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¿Qué declaración es cierta sobre el concepto de </w:t>
      </w:r>
      <w:r>
        <w:rPr>
          <w:i/>
          <w:color w:val="231F20"/>
          <w:sz w:val="22"/>
        </w:rPr>
        <w:t>oikos </w:t>
      </w:r>
      <w:r>
        <w:rPr>
          <w:color w:val="231F20"/>
          <w:sz w:val="22"/>
        </w:rPr>
        <w:t>(familia) del Nuevo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Testamento?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Muchas de las primeras iglesias se reunían y organizaban en su</w:t>
      </w:r>
      <w:r>
        <w:rPr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oikos</w:t>
      </w:r>
      <w:r>
        <w:rPr>
          <w:color w:val="231F20"/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La evangelización usualmente se dirigía a todo el </w:t>
      </w:r>
      <w:r>
        <w:rPr>
          <w:i/>
          <w:color w:val="231F20"/>
          <w:sz w:val="22"/>
        </w:rPr>
        <w:t>oikos</w:t>
      </w:r>
      <w:r>
        <w:rPr>
          <w:color w:val="231F20"/>
          <w:sz w:val="22"/>
        </w:rPr>
        <w:t>, es decir, a toda 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casa.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La mayoría de las iglesias misioneras plantadas por Pablo estaban constituidas por una o más casas (o</w:t>
      </w:r>
      <w:r>
        <w:rPr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oikia</w:t>
      </w:r>
      <w:r>
        <w:rPr>
          <w:color w:val="231F20"/>
          <w:sz w:val="22"/>
        </w:rPr>
        <w:t>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Las casas, una vez convertidas a Jesucristo y su Reino, podían constituir una iglesia.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Todo lo anterior es cierto.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765" w:val="left" w:leader="none"/>
        </w:tabs>
        <w:spacing w:line="240" w:lineRule="auto" w:before="180" w:after="0"/>
        <w:ind w:left="764" w:right="0" w:hanging="361"/>
        <w:jc w:val="left"/>
        <w:rPr>
          <w:color w:val="231F20"/>
          <w:sz w:val="22"/>
        </w:rPr>
      </w:pPr>
      <w:r>
        <w:rPr>
          <w:color w:val="231F20"/>
          <w:sz w:val="22"/>
        </w:rPr>
        <w:t>¿Cuál de los siguientes declaraciónes es un elemento central en un líder con un corazón de pastor?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1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Posee un amor y un deseo genuino por servir al pueblo de Dios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Es capaz de gobernar la iglesia como si fuera un motor comercial bien aceitado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Insiste en que la iglesia le pague a </w:t>
      </w:r>
      <w:r>
        <w:rPr>
          <w:color w:val="231F20"/>
          <w:spacing w:val="27"/>
          <w:sz w:val="22"/>
        </w:rPr>
        <w:t>élya </w:t>
      </w:r>
      <w:r>
        <w:rPr>
          <w:color w:val="231F20"/>
          <w:sz w:val="22"/>
        </w:rPr>
        <w:t>su personal un “salario digno” según la economía</w:t>
      </w:r>
      <w:r>
        <w:rPr>
          <w:color w:val="231F20"/>
          <w:spacing w:val="-26"/>
          <w:sz w:val="22"/>
        </w:rPr>
        <w:t> </w:t>
      </w:r>
      <w:r>
        <w:rPr>
          <w:color w:val="231F20"/>
          <w:sz w:val="22"/>
        </w:rPr>
        <w:t>actual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765" w:val="left" w:leader="none"/>
        </w:tabs>
        <w:spacing w:line="240" w:lineRule="auto" w:before="181" w:after="0"/>
        <w:ind w:left="764" w:right="0" w:hanging="361"/>
        <w:jc w:val="left"/>
        <w:rPr>
          <w:color w:val="231F20"/>
          <w:sz w:val="22"/>
        </w:rPr>
      </w:pPr>
      <w:r>
        <w:rPr>
          <w:color w:val="231F20"/>
          <w:sz w:val="22"/>
        </w:rPr>
        <w:t>¿Cuál declaración NO es un elemento característico de una iglesia que se enfoca en la reproducción?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Una iglesia comprometida únicamente con las reuniones de adoración contemporáneas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Una iglesia que elige sus propios pastores y líderes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1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Una iglesia que genera ingresos para sus operaciones y ministerio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Una iglesia que fielmente administra sus recursos y propiedades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6"/>
          <w:pgSz w:w="12240" w:h="15840"/>
          <w:pgMar w:header="720" w:footer="0" w:top="1920" w:bottom="280" w:left="820" w:right="8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319" w:lineRule="auto" w:before="1" w:after="0"/>
        <w:ind w:left="619" w:right="258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etapa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plantación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iglesias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establecemos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fundamento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inicial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ministerio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través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oración,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 selección de nuestro equipo, el área objetivo y el entendimiento de las necesidades de la comunidad se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denomina: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166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Preparar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Lanzar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Transición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Nutrir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203" w:after="0"/>
        <w:ind w:left="620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La gente en su mayoría viene a Cristo a través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Un pastor que comparte las Buenas Nuevas con ellos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La visita de alguien de la iglesia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Una cruzada evangelística o un programa televisivo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Un amigo o familiar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361"/>
        <w:jc w:val="left"/>
        <w:rPr>
          <w:sz w:val="22"/>
        </w:rPr>
      </w:pPr>
      <w:r>
        <w:rPr>
          <w:color w:val="231F20"/>
          <w:sz w:val="22"/>
        </w:rPr>
        <w:t>Ninguno de los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  <w:tab w:pos="10273" w:val="left" w:leader="none"/>
        </w:tabs>
        <w:spacing w:line="240" w:lineRule="auto" w:before="202" w:after="0"/>
        <w:ind w:left="620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Tres  tipos  de  contactos  que  ponen  en  marcha  el  </w:t>
      </w:r>
      <w:r>
        <w:rPr>
          <w:i/>
          <w:color w:val="231F20"/>
          <w:sz w:val="22"/>
        </w:rPr>
        <w:t>oikos</w:t>
      </w:r>
      <w:r>
        <w:rPr>
          <w:i/>
          <w:color w:val="231F20"/>
          <w:spacing w:val="-15"/>
          <w:sz w:val="22"/>
        </w:rPr>
        <w:t> </w:t>
      </w:r>
      <w:r>
        <w:rPr>
          <w:color w:val="231F20"/>
          <w:sz w:val="22"/>
        </w:rPr>
        <w:t>moderno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</w:p>
    <w:p>
      <w:pPr>
        <w:pStyle w:val="BodyText"/>
        <w:tabs>
          <w:tab w:pos="2710" w:val="left" w:leader="none"/>
          <w:tab w:pos="5819" w:val="left" w:leader="none"/>
        </w:tabs>
        <w:spacing w:before="83"/>
        <w:ind w:left="620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319" w:lineRule="auto" w:before="202" w:after="0"/>
        <w:ind w:left="620" w:right="258" w:hanging="360"/>
        <w:jc w:val="left"/>
        <w:rPr>
          <w:color w:val="231F20"/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Al comienzo de la obra evangelística de los apóstoles, no permitían que los gentiles y los judíos se asociaran en las igleisas.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color w:val="231F20"/>
          <w:sz w:val="22"/>
        </w:rPr>
      </w:pPr>
      <w:r>
        <w:rPr>
          <w:color w:val="231F20"/>
          <w:sz w:val="22"/>
        </w:rPr>
        <w:t>El término griego para el tipo de ejemplo y modelo que representa el discipulador 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Typos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Kerygma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Energia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2"/>
        </w:rPr>
      </w:pPr>
      <w:r>
        <w:rPr>
          <w:color w:val="231F20"/>
          <w:sz w:val="22"/>
        </w:rPr>
        <w:t>Ninguno de los anteriores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92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302" w:val="left" w:leader="none"/>
        </w:tabs>
        <w:spacing w:line="240" w:lineRule="auto" w:before="1" w:after="0"/>
        <w:ind w:left="76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Uno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10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principios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plantación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iglesias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urbanas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transculturales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10409" w:val="left" w:leader="none"/>
        </w:tabs>
        <w:spacing w:line="240" w:lineRule="auto" w:before="180" w:after="0"/>
        <w:ind w:left="76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La definición de  </w:t>
      </w:r>
      <w:r>
        <w:rPr>
          <w:i/>
          <w:color w:val="231F20"/>
          <w:sz w:val="22"/>
        </w:rPr>
        <w:t>Capacitación </w:t>
      </w:r>
      <w:r>
        <w:rPr>
          <w:color w:val="231F20"/>
          <w:sz w:val="22"/>
        </w:rPr>
        <w:t>implica la</w:t>
      </w:r>
      <w:r>
        <w:rPr>
          <w:color w:val="231F20"/>
          <w:spacing w:val="41"/>
          <w:sz w:val="22"/>
        </w:rPr>
        <w:t> </w:t>
      </w:r>
      <w:r>
        <w:rPr>
          <w:color w:val="231F20"/>
          <w:sz w:val="22"/>
        </w:rPr>
        <w:t>transición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hacia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</w:p>
    <w:p>
      <w:pPr>
        <w:pStyle w:val="BodyText"/>
        <w:tabs>
          <w:tab w:pos="4063" w:val="left" w:leader="none"/>
          <w:tab w:pos="8053" w:val="left" w:leader="none"/>
        </w:tabs>
        <w:spacing w:before="72"/>
        <w:ind w:left="763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09" w:lineRule="auto" w:before="180" w:after="0"/>
        <w:ind w:left="763" w:right="113" w:hanging="360"/>
        <w:jc w:val="left"/>
        <w:rPr>
          <w:color w:val="231F20"/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No es necesario bautizar a los nuevos creyentes antes de reconocerlos como miembros del</w:t>
      </w:r>
      <w:r>
        <w:rPr>
          <w:color w:val="231F20"/>
          <w:spacing w:val="-33"/>
          <w:sz w:val="22"/>
        </w:rPr>
        <w:t> </w:t>
      </w:r>
      <w:r>
        <w:rPr>
          <w:color w:val="231F20"/>
          <w:sz w:val="22"/>
        </w:rPr>
        <w:t>cuerpo local de creyentes.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8527" w:val="left" w:leader="none"/>
        </w:tabs>
        <w:spacing w:line="309" w:lineRule="auto" w:before="0" w:after="0"/>
        <w:ind w:left="763" w:right="114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Lo primero que debemos reconocer en un líder creíble para una iglesia creciente es que debe ser llamado por Dios para liderar. Este llamado también 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descrito 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0" w:after="0"/>
        <w:ind w:left="764" w:right="0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Para hacer que la etapa de </w:t>
      </w:r>
      <w:r>
        <w:rPr>
          <w:i/>
          <w:color w:val="231F20"/>
          <w:sz w:val="22"/>
        </w:rPr>
        <w:t>transición </w:t>
      </w:r>
      <w:r>
        <w:rPr>
          <w:color w:val="231F20"/>
          <w:sz w:val="22"/>
        </w:rPr>
        <w:t>sea sólida,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debe: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Evitar la dependencia rechazando cualquier tipo de ayuda para la nueva iglesia.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Animar a la iglesia a hacerse fuerte por sí misma antes que haga amistades con otros.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309" w:lineRule="auto" w:before="0" w:after="0"/>
        <w:ind w:left="1123" w:right="114" w:hanging="360"/>
        <w:jc w:val="left"/>
        <w:rPr>
          <w:sz w:val="22"/>
        </w:rPr>
      </w:pPr>
      <w:r>
        <w:rPr>
          <w:color w:val="231F20"/>
          <w:sz w:val="22"/>
        </w:rPr>
        <w:t>Reconocer que el objetivo de la transición no es simplemente la supervivencia, sino el crecimiento y la reproducción continua de la nueva iglesia en el ministerio y la generosidad.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165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No darles autoridad inmediatamente, ya que las iglesias urbanas necesitan mayor supervisión 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otras.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09" w:lineRule="auto" w:before="180" w:after="0"/>
        <w:ind w:left="763" w:right="114" w:hanging="360"/>
        <w:jc w:val="left"/>
        <w:rPr>
          <w:color w:val="231F20"/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respecta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futuro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iglesia,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transición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implica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transferencia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autoridad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líderes que puedan pastorear el cuerpo.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09" w:lineRule="auto" w:before="0" w:after="0"/>
        <w:ind w:left="763" w:right="113" w:hanging="360"/>
        <w:jc w:val="left"/>
        <w:rPr>
          <w:color w:val="231F20"/>
          <w:sz w:val="22"/>
        </w:rPr>
      </w:pPr>
      <w:r>
        <w:rPr>
          <w:color w:val="231F20"/>
          <w:sz w:val="22"/>
        </w:rPr>
        <w:t>El elemento del liderazgo donde un líder emergente muestra su idoneidad al reflejar a Cristo en su estilo de vida y acciones se denomina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165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Conducta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Comisión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Ser competente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1" w:after="0"/>
        <w:ind w:left="1123" w:right="0" w:hanging="361"/>
        <w:jc w:val="left"/>
        <w:rPr>
          <w:sz w:val="22"/>
        </w:rPr>
      </w:pPr>
      <w:r>
        <w:rPr>
          <w:color w:val="231F20"/>
          <w:sz w:val="22"/>
        </w:rPr>
        <w:t>Carácter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920" w:bottom="280" w:left="820" w:right="820"/>
        </w:sectPr>
      </w:pPr>
    </w:p>
    <w:p>
      <w:pPr>
        <w:spacing w:before="90"/>
        <w:ind w:left="1331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964882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.728077pt;margin-top:3.02461pt;width:21.45pt;height:17.25pt;mso-position-horizontal-relative:page;mso-position-vertical-relative:paragraph;z-index:251660288" coordorigin="935,60" coordsize="429,345">
            <v:shape style="position:absolute;left:936;top:62;width:326;height:294" type="#_x0000_t75" stroked="false">
              <v:imagedata r:id="rId9" o:title=""/>
            </v:shape>
            <v:shape style="position:absolute;left:936;top:60;width:418;height:294" coordorigin="936,60" coordsize="418,294" path="m1145,60l1103,63,1064,72,1028,86,998,104,972,125,953,150,941,178,936,207,940,236,953,264,972,289,997,310,1028,328,1063,342,1102,351,1144,354,1144,301,1262,221,1353,221,1354,207,1350,178,1337,150,1318,125,1293,104,1262,86,1226,72,1187,63,1145,60xm1353,221l1262,221,1262,328,1282,317,1300,305,1316,291,1329,276,1339,260,1347,243,1352,226,1353,221xe" filled="true" fillcolor="#939598" stroked="false">
              <v:path arrowok="t"/>
              <v:fill type="solid"/>
            </v:shape>
            <v:shape style="position:absolute;left:934;top:60;width:429;height:325" type="#_x0000_t75" stroked="false">
              <v:imagedata r:id="rId10" o:title=""/>
            </v:shape>
            <v:line style="position:absolute" from="1027,220" to="1027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260" w:right="625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12: Enfoque en la Reproducción Examen Final para hacer en casa</w:t>
      </w:r>
    </w:p>
    <w:p>
      <w:pPr>
        <w:spacing w:before="1"/>
        <w:ind w:left="260" w:right="0" w:firstLine="0"/>
        <w:jc w:val="lef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color w:val="231F20"/>
          <w:w w:val="120"/>
          <w:sz w:val="18"/>
        </w:rPr>
        <w:t>Página 5 de 5</w:t>
      </w:r>
    </w:p>
    <w:p>
      <w:pPr>
        <w:pStyle w:val="BodyText"/>
        <w:rPr>
          <w:rFonts w:ascii="Arial Narrow"/>
          <w:i/>
          <w:sz w:val="20"/>
        </w:rPr>
      </w:pPr>
    </w:p>
    <w:p>
      <w:pPr>
        <w:pStyle w:val="BodyText"/>
        <w:spacing w:before="9"/>
        <w:rPr>
          <w:rFonts w:ascii="Arial Narrow"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319" w:lineRule="auto" w:before="96" w:after="0"/>
        <w:ind w:left="620" w:right="259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necesita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guiar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iglesia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creciente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disponibilidad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hacerlo,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deseo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sincero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 hacerlo; los dones del Espíritu Santo no necesitan estar presentes para este ministerio.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8"/>
        <w:ind w:left="260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del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 w:before="1"/>
        <w:ind w:left="260" w:right="257"/>
        <w:jc w:val="both"/>
      </w:pPr>
      <w:r>
        <w:rPr>
          <w:color w:val="231F20"/>
        </w:rPr>
        <w:t>Conteste en otra hoja las siguientes preguntas lo mejor que pueda, procurando manifestar todo su conocimiento y entendimiento en cuanto a Enfoque en la Reproducción.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1"/>
        <w:ind w:left="260" w:right="0" w:firstLine="0"/>
        <w:jc w:val="both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1</w:t>
      </w:r>
    </w:p>
    <w:p>
      <w:pPr>
        <w:pStyle w:val="BodyText"/>
        <w:spacing w:before="8"/>
        <w:rPr>
          <w:rFonts w:ascii="Gill Sans MT"/>
          <w:b/>
        </w:rPr>
      </w:pPr>
    </w:p>
    <w:p>
      <w:pPr>
        <w:pStyle w:val="BodyText"/>
        <w:spacing w:line="319" w:lineRule="auto"/>
        <w:ind w:left="260" w:right="258"/>
        <w:jc w:val="both"/>
      </w:pPr>
      <w:r>
        <w:rPr>
          <w:color w:val="231F20"/>
        </w:rPr>
        <w:t>Hemos</w:t>
      </w:r>
      <w:r>
        <w:rPr>
          <w:color w:val="231F20"/>
          <w:spacing w:val="-14"/>
        </w:rPr>
        <w:t> </w:t>
      </w:r>
      <w:r>
        <w:rPr>
          <w:color w:val="231F20"/>
        </w:rPr>
        <w:t>presentado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metodología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visión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plantar</w:t>
      </w:r>
      <w:r>
        <w:rPr>
          <w:color w:val="231F20"/>
          <w:spacing w:val="-15"/>
        </w:rPr>
        <w:t> </w:t>
      </w:r>
      <w:r>
        <w:rPr>
          <w:color w:val="231F20"/>
        </w:rPr>
        <w:t>iglesias</w:t>
      </w:r>
      <w:r>
        <w:rPr>
          <w:color w:val="231F20"/>
          <w:spacing w:val="-12"/>
        </w:rPr>
        <w:t> </w:t>
      </w:r>
      <w:r>
        <w:rPr>
          <w:color w:val="231F20"/>
        </w:rPr>
        <w:t>transculturales</w:t>
      </w:r>
      <w:r>
        <w:rPr>
          <w:color w:val="231F20"/>
          <w:spacing w:val="-15"/>
        </w:rPr>
        <w:t> </w:t>
      </w:r>
      <w:r>
        <w:rPr>
          <w:color w:val="231F20"/>
        </w:rPr>
        <w:t>entre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pobres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ciudad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medio</w:t>
      </w:r>
      <w:r>
        <w:rPr>
          <w:color w:val="231F20"/>
          <w:spacing w:val="-12"/>
        </w:rPr>
        <w:t> </w:t>
      </w:r>
      <w:r>
        <w:rPr>
          <w:color w:val="231F20"/>
        </w:rPr>
        <w:t>de </w:t>
      </w:r>
      <w:r>
        <w:rPr>
          <w:i/>
          <w:color w:val="231F20"/>
        </w:rPr>
        <w:t>Evangelizar, Equipar </w:t>
      </w:r>
      <w:r>
        <w:rPr>
          <w:color w:val="231F20"/>
        </w:rPr>
        <w:t>y </w:t>
      </w:r>
      <w:r>
        <w:rPr>
          <w:i/>
          <w:color w:val="231F20"/>
        </w:rPr>
        <w:t>Capacitar. </w:t>
      </w:r>
      <w:r>
        <w:rPr>
          <w:color w:val="231F20"/>
        </w:rPr>
        <w:t>Estas tres cosas tienen un paralelo con el acróstico PLANTAR que indica el proceso</w:t>
      </w:r>
      <w:r>
        <w:rPr>
          <w:color w:val="231F20"/>
          <w:spacing w:val="-32"/>
        </w:rPr>
        <w:t> </w:t>
      </w:r>
      <w:r>
        <w:rPr>
          <w:color w:val="231F20"/>
          <w:spacing w:val="-6"/>
        </w:rPr>
        <w:t>de </w:t>
      </w:r>
      <w:r>
        <w:rPr>
          <w:color w:val="231F20"/>
        </w:rPr>
        <w:t>plantación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iglesias.</w:t>
      </w:r>
      <w:r>
        <w:rPr>
          <w:color w:val="231F20"/>
          <w:spacing w:val="-3"/>
        </w:rPr>
        <w:t> </w:t>
      </w:r>
      <w:r>
        <w:rPr>
          <w:color w:val="231F20"/>
        </w:rPr>
        <w:t>Dé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breve</w:t>
      </w:r>
      <w:r>
        <w:rPr>
          <w:color w:val="231F20"/>
          <w:spacing w:val="-4"/>
        </w:rPr>
        <w:t> </w:t>
      </w:r>
      <w:r>
        <w:rPr>
          <w:color w:val="231F20"/>
        </w:rPr>
        <w:t>definición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bosquejo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cada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estas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3"/>
        </w:rPr>
        <w:t> </w:t>
      </w:r>
      <w:r>
        <w:rPr>
          <w:color w:val="231F20"/>
        </w:rPr>
        <w:t>etapas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correspondiente</w:t>
      </w:r>
      <w:r>
        <w:rPr>
          <w:color w:val="231F20"/>
          <w:spacing w:val="-6"/>
        </w:rPr>
        <w:t> </w:t>
      </w:r>
      <w:r>
        <w:rPr>
          <w:color w:val="231F20"/>
        </w:rPr>
        <w:t>letra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 acróstico PLANTAR. ¿Cómo es que estas tres etapas nos ayudan a entender la riqueza del ministerio urbano entre los citadinos no alcanzados? Por favor, use la Escritura y presente respuestas lo más completa posibles.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4"/>
        </w:rPr>
      </w:pPr>
    </w:p>
    <w:p>
      <w:pPr>
        <w:spacing w:before="0"/>
        <w:ind w:left="260" w:right="0" w:firstLine="0"/>
        <w:jc w:val="both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2</w:t>
      </w:r>
    </w:p>
    <w:p>
      <w:pPr>
        <w:pStyle w:val="BodyText"/>
        <w:spacing w:before="9"/>
        <w:rPr>
          <w:rFonts w:ascii="Gill Sans MT"/>
          <w:b/>
        </w:rPr>
      </w:pPr>
    </w:p>
    <w:p>
      <w:pPr>
        <w:pStyle w:val="BodyText"/>
        <w:spacing w:line="319" w:lineRule="auto"/>
        <w:ind w:left="260" w:right="257"/>
        <w:jc w:val="both"/>
      </w:pPr>
      <w:r>
        <w:rPr>
          <w:color w:val="231F20"/>
        </w:rPr>
        <w:t>La noción del </w:t>
      </w:r>
      <w:r>
        <w:rPr>
          <w:i/>
          <w:color w:val="231F20"/>
        </w:rPr>
        <w:t>oikos </w:t>
      </w:r>
      <w:r>
        <w:rPr>
          <w:color w:val="231F20"/>
        </w:rPr>
        <w:t>tiene que ver con el papel que las redes afectivas juegan para ganar a los no alcanzados para Cristo. Defina </w:t>
      </w:r>
      <w:r>
        <w:rPr>
          <w:i/>
          <w:color w:val="231F20"/>
        </w:rPr>
        <w:t>oikos</w:t>
      </w:r>
      <w:r>
        <w:rPr>
          <w:color w:val="231F20"/>
        </w:rPr>
        <w:t>, y ofrezca formas en las cuales el Nuevo Testamento presenta la idea, proveyendo razones por las cuales piensa que es lógico usar los canales del </w:t>
      </w:r>
      <w:r>
        <w:rPr>
          <w:i/>
          <w:color w:val="231F20"/>
        </w:rPr>
        <w:t>oikos </w:t>
      </w:r>
      <w:r>
        <w:rPr>
          <w:color w:val="231F20"/>
        </w:rPr>
        <w:t>para evangelizar y hacer crecer iglesias entre los pobres de la ciudad.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9"/>
        <w:ind w:left="260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260"/>
        <w:jc w:val="both"/>
      </w:pPr>
      <w:r>
        <w:rPr>
          <w:color w:val="231F20"/>
        </w:rPr>
        <w:t>Al dorso de esta página, por favor escriba de memoria los pasajes bíblicos que ha aprendido en este curso.</w:t>
      </w:r>
    </w:p>
    <w:sectPr>
      <w:headerReference w:type="default" r:id="rId7"/>
      <w:pgSz w:w="12240" w:h="15840"/>
      <w:pgMar w:header="0" w:footer="0" w:top="6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98144">
          <wp:simplePos x="0" y="0"/>
          <wp:positionH relativeFrom="page">
            <wp:posOffset>777240</wp:posOffset>
          </wp:positionH>
          <wp:positionV relativeFrom="page">
            <wp:posOffset>457250</wp:posOffset>
          </wp:positionV>
          <wp:extent cx="1199857" cy="18770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857" cy="1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200001pt;margin-top:55.814995pt;width:175.05pt;height:41.3pt;mso-position-horizontal-relative:page;mso-position-vertical-relative:page;z-index:-251917312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12: Enfoque en la Reproducción Examen Final para hacer en 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3" w:hanging="360"/>
        <w:jc w:val="right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983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23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#12 MG 11 Jun 14.vp</dc:title>
  <dcterms:created xsi:type="dcterms:W3CDTF">2020-03-23T16:57:57Z</dcterms:created>
  <dcterms:modified xsi:type="dcterms:W3CDTF">2020-03-23T16:57:57Z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