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5: Interpretación Bíblica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1: La Inspiración Bíblica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31"/>
        <w:ind w:left="115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un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círculo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o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escriba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su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mejor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respuesta.</w:t>
      </w:r>
    </w:p>
    <w:p>
      <w:pPr>
        <w:tabs>
          <w:tab w:pos="5086" w:val="left" w:leader="none"/>
        </w:tabs>
        <w:spacing w:line="516" w:lineRule="auto" w:before="14"/>
        <w:ind w:left="116" w:right="456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20" w:right="820"/>
          <w:cols w:num="2" w:equalWidth="0">
            <w:col w:w="4257" w:space="790"/>
            <w:col w:w="5553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319" w:lineRule="auto" w:before="96" w:after="0"/>
        <w:ind w:left="476" w:right="40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teoría mecánica o de dictado argumenta que los autores de la Biblia determinaron qué palabras usarían al escribirla; ellos escribieron lo 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pensaron.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1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El decir que la Biblia es “inspirada por Dios” significa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Ningún ser humano fue incluido en el proceso final de nuestra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Biblia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  <w:rPr>
          <w:sz w:val="22"/>
        </w:rPr>
      </w:pPr>
      <w:r>
        <w:rPr>
          <w:color w:val="231F20"/>
          <w:sz w:val="22"/>
        </w:rPr>
        <w:t>La interpretación privada fue clave para el entendimiento de la Biblia, como vemos en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Isaías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Los autores que escribieron los textos fueron llevados por el Espíritu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Santo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anteriores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46" w:val="left" w:leader="none"/>
        </w:tabs>
        <w:spacing w:line="240" w:lineRule="auto" w:before="202" w:after="0"/>
        <w:ind w:left="476" w:right="435" w:hanging="476"/>
        <w:jc w:val="right"/>
        <w:rPr>
          <w:sz w:val="22"/>
        </w:rPr>
      </w:pPr>
      <w:r>
        <w:rPr>
          <w:color w:val="231F20"/>
          <w:sz w:val="22"/>
        </w:rPr>
        <w:t>El   significado   de   la   revelación   progresiva  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503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674" w:val="left" w:leader="none"/>
        </w:tabs>
        <w:spacing w:line="319" w:lineRule="auto" w:before="202" w:after="0"/>
        <w:ind w:left="476" w:right="406" w:hanging="360"/>
        <w:jc w:val="left"/>
        <w:rPr>
          <w:sz w:val="22"/>
        </w:rPr>
      </w:pPr>
      <w:r>
        <w:rPr>
          <w:color w:val="231F20"/>
          <w:sz w:val="22"/>
        </w:rPr>
        <w:t>La teoría de que el Espíritu Santo seleccionó gente dotada de profunda sabiduría espiritual para escribir la Biblia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se llama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319" w:lineRule="auto" w:before="0" w:after="0"/>
        <w:ind w:left="476" w:right="405" w:hanging="360"/>
        <w:jc w:val="left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acercamos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buscadores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determinados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descubrir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tesoro,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estamos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actuando como: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7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Un detective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Un científico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Un explorador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Un cruzado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5: Interpretación Bíblica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1: La Inspiración Bíblica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95" w:after="0"/>
        <w:ind w:left="764" w:right="118" w:hanging="360"/>
        <w:jc w:val="left"/>
        <w:rPr>
          <w:sz w:val="22"/>
        </w:rPr>
      </w:pPr>
      <w:r>
        <w:rPr>
          <w:color w:val="231F20"/>
          <w:sz w:val="22"/>
        </w:rPr>
        <w:t>Esa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crítica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bíblica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moderna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preocupa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idioma,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palabras,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gramática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texto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 llama: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6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Crítica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textual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Crítica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canónica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Crítica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literaria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Crítica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lingüística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4" w:right="118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“Hermenéutica”: la disciplina y rama del conocimiento que se enfoca en la interpretación, especialmente la interpretación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textos.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50" w:val="left" w:leader="none"/>
        </w:tabs>
        <w:spacing w:line="240" w:lineRule="auto" w:before="0" w:after="0"/>
        <w:ind w:left="764" w:right="143" w:hanging="764"/>
        <w:jc w:val="right"/>
        <w:rPr>
          <w:sz w:val="22"/>
        </w:rPr>
      </w:pPr>
      <w:r>
        <w:rPr>
          <w:color w:val="231F20"/>
          <w:sz w:val="22"/>
        </w:rPr>
        <w:t>La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teoría 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verbal 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plenaria 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 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las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Escrituras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sugiere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que 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4" w:right="118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referente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origen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libro divino 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humano?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7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Biblia es un libro divino por el cual Dios nos ha hablado referente a su voluntad 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obra.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319" w:lineRule="auto" w:before="0" w:after="0"/>
        <w:ind w:left="1124" w:right="118" w:hanging="360"/>
        <w:jc w:val="left"/>
        <w:rPr>
          <w:sz w:val="22"/>
        </w:rPr>
      </w:pPr>
      <w:r>
        <w:rPr>
          <w:color w:val="231F20"/>
          <w:sz w:val="22"/>
        </w:rPr>
        <w:t>La Biblia es un libro humano escrito durante unos 1,600 años por 40 autores diferentes quienes tuvieron una experiencia y entendimiento radicalmente diferente a la 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nosotros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6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No necesitamos un método para interpretar las Escrituras si estamos abiertos y conscientes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espiritualmente.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Todas las anteriores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6586" w:val="left" w:leader="none"/>
          <w:tab w:pos="10455" w:val="left" w:leader="none"/>
        </w:tabs>
        <w:spacing w:line="319" w:lineRule="auto" w:before="203" w:after="0"/>
        <w:ind w:left="764" w:right="141" w:hanging="360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sabiduría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simplemente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viene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 sino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5: Interpretación Bíblica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Hermenéutica Bíblica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31"/>
        <w:ind w:left="119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un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círculo</w:t>
      </w:r>
      <w:r>
        <w:rPr>
          <w:rFonts w:ascii="Trebuchet MS" w:hAnsi="Trebuchet MS"/>
          <w:b/>
          <w:color w:val="231F20"/>
          <w:spacing w:val="-25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o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escriba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su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mejor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respuesta.</w:t>
      </w:r>
    </w:p>
    <w:p>
      <w:pPr>
        <w:tabs>
          <w:tab w:pos="5086" w:val="left" w:leader="none"/>
        </w:tabs>
        <w:spacing w:line="516" w:lineRule="auto" w:before="14"/>
        <w:ind w:left="116" w:right="456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9"/>
          <w:pgSz w:w="12240" w:h="15840"/>
          <w:pgMar w:header="777" w:footer="0" w:top="960" w:bottom="280" w:left="820" w:right="820"/>
          <w:cols w:num="2" w:equalWidth="0">
            <w:col w:w="4260" w:space="786"/>
            <w:col w:w="5554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0288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  <w:tab w:pos="10183" w:val="left" w:leader="none"/>
        </w:tabs>
        <w:spacing w:line="240" w:lineRule="auto" w:before="96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Los 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tres 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elementos 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para 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el </w:t>
      </w:r>
      <w:r>
        <w:rPr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Modelo 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 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los 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Tres </w:t>
      </w:r>
      <w:r>
        <w:rPr>
          <w:i/>
          <w:color w:val="231F20"/>
          <w:spacing w:val="14"/>
          <w:sz w:val="22"/>
        </w:rPr>
        <w:t> </w:t>
      </w:r>
      <w:r>
        <w:rPr>
          <w:i/>
          <w:color w:val="231F20"/>
          <w:sz w:val="22"/>
        </w:rPr>
        <w:t>Pasos </w:t>
      </w:r>
      <w:r>
        <w:rPr>
          <w:i/>
          <w:color w:val="231F20"/>
          <w:spacing w:val="14"/>
          <w:sz w:val="22"/>
        </w:rPr>
        <w:t> </w:t>
      </w:r>
      <w:r>
        <w:rPr>
          <w:color w:val="231F20"/>
          <w:sz w:val="22"/>
        </w:rPr>
        <w:t>de 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interpretación 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bíblica 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son 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4549" w:val="left" w:leader="none"/>
          <w:tab w:pos="5136" w:val="left" w:leader="none"/>
          <w:tab w:pos="10116" w:val="left" w:leader="none"/>
        </w:tabs>
        <w:spacing w:line="319" w:lineRule="auto" w:before="83"/>
        <w:ind w:left="479" w:right="432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spacing w:val="-17"/>
        </w:rPr>
        <w:t>, </w:t>
      </w:r>
      <w:r>
        <w:rPr>
          <w:color w:val="231F20"/>
        </w:rPr>
        <w:t>y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319" w:lineRule="auto" w:before="0" w:after="0"/>
        <w:ind w:left="479" w:right="30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actitud clave que se necesita para buscar entender la situación original es la </w:t>
      </w:r>
      <w:r>
        <w:rPr>
          <w:i/>
          <w:color w:val="231F20"/>
          <w:spacing w:val="4"/>
          <w:sz w:val="22"/>
        </w:rPr>
        <w:t>humildad</w:t>
      </w:r>
      <w:r>
        <w:rPr>
          <w:color w:val="231F20"/>
          <w:spacing w:val="4"/>
          <w:sz w:val="22"/>
        </w:rPr>
        <w:t>, </w:t>
      </w:r>
      <w:r>
        <w:rPr>
          <w:color w:val="231F20"/>
          <w:sz w:val="22"/>
        </w:rPr>
        <w:t>y disponibilidad para admitir la distancia entre nosotros y las audiencias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originales.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De acuerdo al testimonio claro del NT en las Escrituras, una cosas que sabemos con certeza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Espíritu Santo es el autor de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Escrituras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Debido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autor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Escrituras,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seres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tuvieron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nada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ellas.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Tanto el Espíritu Santo como los intérpretes privados hicieron la Biblia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juntos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actitud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clave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necesitamos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buscar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aplicar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41"/>
          <w:sz w:val="22"/>
        </w:rPr>
        <w:t> </w:t>
      </w:r>
      <w:r>
        <w:rPr>
          <w:color w:val="231F20"/>
          <w:sz w:val="22"/>
        </w:rPr>
        <w:t>significado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nuestras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vidas</w:t>
      </w:r>
      <w:r>
        <w:rPr>
          <w:color w:val="231F20"/>
          <w:spacing w:val="41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6309" w:val="left" w:leader="none"/>
        </w:tabs>
        <w:spacing w:before="82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herramientas del estudio bíblico usaría para entender la situación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original?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Diccionarios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bíblicos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Varias traducciones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diferentes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Manuales y atlas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bíblicos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Todos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5: Interpretación Bíblica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Hermenéutica Bíblica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169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“clave”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formar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principio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este: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proverbio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verdad, debe poder encontrar casos de la vida real donde 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sucedido.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 forma fácil de pensar en un principio bíblico es verlo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“moral de la historia” que es apoyada por toda 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Biblia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verdad que solamente se aplica a las audiencias a las que fue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escrita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idea que más le gusta al intérprete cuando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estudia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Antes de que pueda aceptar una conclusión o un dicho de su estudio como un principio, debe estar seguro de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que</w:t>
      </w:r>
    </w:p>
    <w:p>
      <w:pPr>
        <w:pStyle w:val="BodyText"/>
        <w:tabs>
          <w:tab w:pos="8577" w:val="left" w:leader="none"/>
        </w:tabs>
        <w:spacing w:before="82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 de las razones por las que es tan difícil sacar principios generales de las Escrituras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Hay demasiados hechos, historias, o materiales que procesar cuando estudiamos 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Biblia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mayoría de las verdades espirituales están claramente puestas encima 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texto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mayoría de gente lee la Biblia con la intención de relacionarla a toda la gente y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situación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buscamos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aplicar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Escrituras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nuestras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vidas,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debemos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permitir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diferencias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forma en que los intérpretes quieren aplicar el texto, Jesús está vivo y Él los guiará como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quiera.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spacing w:before="90"/>
        <w:ind w:left="133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63360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5: Interpretación Bíblica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Prueba de la lección 3: La Literatura Bíblica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31"/>
        <w:ind w:left="119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un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círculo</w:t>
      </w:r>
      <w:r>
        <w:rPr>
          <w:rFonts w:ascii="Trebuchet MS" w:hAnsi="Trebuchet MS"/>
          <w:b/>
          <w:color w:val="231F20"/>
          <w:spacing w:val="-25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o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escriba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su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mejor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respuesta.</w:t>
      </w:r>
    </w:p>
    <w:p>
      <w:pPr>
        <w:pStyle w:val="BodyText"/>
        <w:spacing w:before="6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sz w:val="28"/>
        </w:rPr>
      </w:r>
    </w:p>
    <w:p>
      <w:pPr>
        <w:tabs>
          <w:tab w:pos="5086" w:val="left" w:leader="none"/>
        </w:tabs>
        <w:spacing w:line="516" w:lineRule="auto" w:before="0"/>
        <w:ind w:left="116" w:right="456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10"/>
          <w:pgSz w:w="12240" w:h="15840"/>
          <w:pgMar w:header="0" w:footer="0" w:top="660" w:bottom="280" w:left="820" w:right="820"/>
          <w:cols w:num="2" w:equalWidth="0">
            <w:col w:w="4260" w:space="786"/>
            <w:col w:w="5554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  <w:tab w:pos="8046" w:val="left" w:leader="none"/>
        </w:tabs>
        <w:spacing w:line="319" w:lineRule="auto" w:before="94" w:after="0"/>
        <w:ind w:left="479" w:right="402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“revelar”,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porciones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Daniel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Apocalipsis,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trata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mucho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temas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fin de los tiempos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Una narrativa es un poema que se enfoca en figuras históricas 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imaginarias.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acerca de los “géneros” y su uso en 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Biblia?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Dios se comunicó en formas diferentes en el texto y todas ellas son inspiradas 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Un género bíblico es un tipo particular de forma literaria que tiene sus propias reglas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interpretación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Biblia no es una obra literaria sino la revelación de Dios y sólo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Dios usó las formas del idioma de la Biblia para comunicar su verdad a 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pueblo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género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bíblico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usualmente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aparece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canto,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himno,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soneto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llama</w:t>
      </w:r>
    </w:p>
    <w:p>
      <w:pPr>
        <w:pStyle w:val="BodyText"/>
        <w:tabs>
          <w:tab w:pos="2569" w:val="left" w:leader="none"/>
        </w:tabs>
        <w:spacing w:before="82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319" w:lineRule="auto" w:before="203" w:after="0"/>
        <w:ind w:left="479" w:right="404" w:hanging="360"/>
        <w:jc w:val="left"/>
        <w:rPr>
          <w:sz w:val="22"/>
        </w:rPr>
      </w:pPr>
      <w:r>
        <w:rPr>
          <w:color w:val="231F20"/>
          <w:sz w:val="22"/>
        </w:rPr>
        <w:t>El término que se refiere a mandatos y códigos en la Escritura y detalla los mandatos de Dios y prohibiciones a su pueblo se llama el: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66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Shema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Torah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Deutero-Torah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Shema-Torah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0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Módulo 5: Interpretación Bíblica</w:t>
      </w:r>
    </w:p>
    <w:p>
      <w:pPr>
        <w:spacing w:before="54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 de la lección 3: La Literatura Bíblica</w:t>
      </w:r>
    </w:p>
    <w:p>
      <w:pPr>
        <w:spacing w:before="54"/>
        <w:ind w:left="404" w:right="0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231F20"/>
          <w:sz w:val="18"/>
        </w:rPr>
        <w:t>Página 2 de 2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8"/>
        <w:rPr>
          <w:rFonts w:ascii="Lucida Sans"/>
          <w:i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 declaraciones NO ES VERDAD acerca de la teología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historia?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Las historias producen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teología.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Las historias son más importantes que 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hechos.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Las historias producen rituales 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sacramentos.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falsas.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género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cartas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apóstoles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animarles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caminar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 testimonio se llama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epístolas</w:t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entornos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ambiente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historia,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física,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cultural,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religiosa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histórica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llama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su</w:t>
      </w:r>
    </w:p>
    <w:p>
      <w:pPr>
        <w:pStyle w:val="BodyText"/>
        <w:tabs>
          <w:tab w:pos="4617" w:val="left" w:leader="none"/>
        </w:tabs>
        <w:spacing w:before="83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declaraciones ES VERDAD referente a la profecía en la Palabra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don de profecía es un don del Espíritu, y los mensajes eran a menudo dados en forma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poética.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profecía se refiere a la gente, no textos; no es propio referirse a la Escritura 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profecía.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profecía se enfoca en decir la verdad tal y como es, no con símbolos, imágenes, 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metáforas.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profeta debía ser el juez final de la verdad de 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mensaje.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escrita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proveernos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verdad,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desplazar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autores bíblicos; </w:t>
      </w:r>
      <w:r>
        <w:rPr>
          <w:i/>
          <w:color w:val="231F20"/>
          <w:sz w:val="22"/>
        </w:rPr>
        <w:t>lo que </w:t>
      </w:r>
      <w:r>
        <w:rPr>
          <w:color w:val="231F20"/>
          <w:sz w:val="22"/>
        </w:rPr>
        <w:t>se dice es lo único que cuenta, no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cómo</w:t>
      </w:r>
      <w:r>
        <w:rPr>
          <w:color w:val="231F20"/>
          <w:sz w:val="22"/>
        </w:rPr>
        <w:t>.</w:t>
      </w:r>
    </w:p>
    <w:sectPr>
      <w:headerReference w:type="default" r:id="rId12"/>
      <w:pgSz w:w="12240" w:h="15840"/>
      <w:pgMar w:header="0" w:footer="0" w:top="7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544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646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1.png"/><Relationship Id="rId12" Type="http://schemas.openxmlformats.org/officeDocument/2006/relationships/header" Target="header4.xml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#5 SPAN MG DA 11 May 31.vp</dc:title>
  <dcterms:created xsi:type="dcterms:W3CDTF">2020-03-23T16:58:28Z</dcterms:created>
  <dcterms:modified xsi:type="dcterms:W3CDTF">2020-03-23T16:58:28Z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